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AE3" w:rsidRDefault="00F24AE3" w:rsidP="00A7589D">
      <w:pPr>
        <w:pStyle w:val="Default"/>
        <w:rPr>
          <w:b/>
          <w:bCs/>
          <w:sz w:val="28"/>
          <w:szCs w:val="28"/>
        </w:rPr>
      </w:pPr>
    </w:p>
    <w:p w:rsidR="00A7589D" w:rsidRDefault="00A7589D" w:rsidP="00A7589D">
      <w:pPr>
        <w:pStyle w:val="Default"/>
        <w:rPr>
          <w:b/>
          <w:bCs/>
          <w:sz w:val="28"/>
          <w:szCs w:val="28"/>
        </w:rPr>
      </w:pPr>
      <w:r>
        <w:rPr>
          <w:b/>
          <w:bCs/>
          <w:sz w:val="28"/>
          <w:szCs w:val="28"/>
        </w:rPr>
        <w:t>Change of Campus Policy, Procedure &amp; Considerations</w:t>
      </w:r>
    </w:p>
    <w:p w:rsidR="00A7589D" w:rsidRDefault="00A7589D" w:rsidP="00A7589D">
      <w:pPr>
        <w:pStyle w:val="Default"/>
        <w:rPr>
          <w:b/>
          <w:bCs/>
          <w:sz w:val="22"/>
          <w:szCs w:val="22"/>
        </w:rPr>
      </w:pPr>
      <w:r>
        <w:rPr>
          <w:b/>
          <w:bCs/>
          <w:sz w:val="22"/>
          <w:szCs w:val="22"/>
        </w:rPr>
        <w:t>For students requesting a change between the On Campus MPH program and the Online MPH program</w:t>
      </w:r>
    </w:p>
    <w:p w:rsidR="00A7589D" w:rsidRDefault="00A7589D" w:rsidP="00A7589D">
      <w:pPr>
        <w:pStyle w:val="Default"/>
        <w:rPr>
          <w:b/>
          <w:bCs/>
          <w:sz w:val="28"/>
          <w:szCs w:val="28"/>
        </w:rPr>
      </w:pPr>
    </w:p>
    <w:p w:rsidR="00A7589D" w:rsidRDefault="00A7589D" w:rsidP="00A7589D">
      <w:pPr>
        <w:pStyle w:val="Default"/>
        <w:rPr>
          <w:b/>
          <w:bCs/>
          <w:sz w:val="28"/>
          <w:szCs w:val="28"/>
        </w:rPr>
      </w:pPr>
      <w:r>
        <w:rPr>
          <w:b/>
          <w:bCs/>
          <w:sz w:val="28"/>
          <w:szCs w:val="28"/>
        </w:rPr>
        <w:t>Background</w:t>
      </w:r>
    </w:p>
    <w:p w:rsidR="00A7589D" w:rsidRDefault="00A7589D" w:rsidP="00A7589D">
      <w:pPr>
        <w:pStyle w:val="Default"/>
        <w:spacing w:after="240"/>
        <w:rPr>
          <w:sz w:val="22"/>
          <w:szCs w:val="22"/>
        </w:rPr>
      </w:pPr>
      <w:r>
        <w:rPr>
          <w:sz w:val="22"/>
          <w:szCs w:val="22"/>
        </w:rPr>
        <w:t>With the inception of the Online MPH program, MPH students now have more options to choose from when determining their educational experience. Some students will do exceptionally well in the program they initially chose, while others will find that the program they chose was not the best option for their learning style. Occasionally, students and their families may need to relocate and will find that a switch in program is necessary. The purpose of this policy is to allow students the option of switching campuses and to inform students, faculty, and staff of the policy, procedure, and issues to consider when such a switch is contemplated.</w:t>
      </w:r>
    </w:p>
    <w:p w:rsidR="00A7589D" w:rsidRDefault="00A7589D" w:rsidP="00A7589D">
      <w:pPr>
        <w:pStyle w:val="Default"/>
        <w:rPr>
          <w:b/>
          <w:bCs/>
          <w:sz w:val="28"/>
          <w:szCs w:val="28"/>
        </w:rPr>
      </w:pPr>
      <w:r>
        <w:rPr>
          <w:b/>
          <w:bCs/>
          <w:sz w:val="28"/>
          <w:szCs w:val="28"/>
        </w:rPr>
        <w:t>Policy</w:t>
      </w:r>
    </w:p>
    <w:p w:rsidR="00A7589D" w:rsidRDefault="00A7589D" w:rsidP="00A7589D">
      <w:pPr>
        <w:pStyle w:val="Default"/>
        <w:rPr>
          <w:sz w:val="22"/>
          <w:szCs w:val="22"/>
        </w:rPr>
      </w:pPr>
      <w:r>
        <w:rPr>
          <w:sz w:val="22"/>
          <w:szCs w:val="22"/>
        </w:rPr>
        <w:t>Per The University of Arizona policy on switching campuses (Online Campus vs. Main C</w:t>
      </w:r>
      <w:bookmarkStart w:id="0" w:name="_GoBack"/>
      <w:bookmarkEnd w:id="0"/>
      <w:r>
        <w:rPr>
          <w:sz w:val="22"/>
          <w:szCs w:val="22"/>
        </w:rPr>
        <w:t>ampus), students are allowed to switch campuses once during their time in the program. Students must meet all admission criteria for the MPH program they request to switch into, and Program Directors make the final admissions decisions.</w:t>
      </w:r>
    </w:p>
    <w:p w:rsidR="00A7589D" w:rsidRDefault="00A7589D" w:rsidP="00A7589D">
      <w:pPr>
        <w:pStyle w:val="Default"/>
        <w:rPr>
          <w:sz w:val="23"/>
          <w:szCs w:val="23"/>
        </w:rPr>
      </w:pPr>
    </w:p>
    <w:p w:rsidR="00A7589D" w:rsidRDefault="00A7589D" w:rsidP="00A7589D">
      <w:pPr>
        <w:pStyle w:val="Default"/>
        <w:rPr>
          <w:b/>
          <w:bCs/>
          <w:sz w:val="28"/>
          <w:szCs w:val="28"/>
        </w:rPr>
      </w:pPr>
      <w:r>
        <w:rPr>
          <w:b/>
          <w:bCs/>
          <w:sz w:val="28"/>
          <w:szCs w:val="28"/>
        </w:rPr>
        <w:t>Procedure</w:t>
      </w:r>
    </w:p>
    <w:p w:rsidR="00A7589D" w:rsidRDefault="00A7589D" w:rsidP="00A7589D">
      <w:pPr>
        <w:pStyle w:val="Default"/>
        <w:rPr>
          <w:sz w:val="22"/>
          <w:szCs w:val="22"/>
        </w:rPr>
      </w:pPr>
      <w:r>
        <w:rPr>
          <w:b/>
          <w:bCs/>
          <w:sz w:val="22"/>
          <w:szCs w:val="22"/>
        </w:rPr>
        <w:t>Advising  &gt;</w:t>
      </w:r>
      <w:r>
        <w:rPr>
          <w:sz w:val="22"/>
          <w:szCs w:val="22"/>
        </w:rPr>
        <w:t>  When a student inquires about changing from the On Campus MPH to the Online MPH (or vice versa), the student will be informed of the differences in admission criteria, curriculum, program structure, advising and mentoring resources, and financial aid options.</w:t>
      </w:r>
    </w:p>
    <w:p w:rsidR="00A7589D" w:rsidRDefault="00A7589D" w:rsidP="00A7589D">
      <w:pPr>
        <w:pStyle w:val="Default"/>
        <w:rPr>
          <w:sz w:val="22"/>
          <w:szCs w:val="22"/>
        </w:rPr>
      </w:pPr>
    </w:p>
    <w:p w:rsidR="00A7589D" w:rsidRDefault="00A7589D" w:rsidP="00A7589D">
      <w:pPr>
        <w:rPr>
          <w:rFonts w:ascii="Calibri" w:hAnsi="Calibri" w:cs="Calibri"/>
          <w:sz w:val="22"/>
          <w:szCs w:val="22"/>
        </w:rPr>
      </w:pPr>
      <w:r>
        <w:rPr>
          <w:rFonts w:ascii="Calibri" w:hAnsi="Calibri" w:cs="Calibri"/>
          <w:b/>
          <w:bCs/>
          <w:sz w:val="22"/>
          <w:szCs w:val="22"/>
        </w:rPr>
        <w:t>Timing  &gt;</w:t>
      </w:r>
      <w:r>
        <w:rPr>
          <w:rFonts w:ascii="Calibri" w:hAnsi="Calibri" w:cs="Calibri"/>
          <w:sz w:val="22"/>
          <w:szCs w:val="22"/>
        </w:rPr>
        <w:t>  An MPH student may request to change campuses at any time during their program, and a request must be made at least six weeks prior to the start of classes. Requests to switch campuses will be reviewed on an as needed basis.  A response will be given to the student within two weeks of the submission of the request. If approved, the campus switch will be effective during the subsequent semester or term.</w:t>
      </w:r>
    </w:p>
    <w:p w:rsidR="00A7589D" w:rsidRDefault="00A7589D" w:rsidP="00A7589D">
      <w:pPr>
        <w:pStyle w:val="Default"/>
        <w:rPr>
          <w:sz w:val="22"/>
          <w:szCs w:val="22"/>
        </w:rPr>
      </w:pPr>
    </w:p>
    <w:p w:rsidR="00A7589D" w:rsidRDefault="00A7589D" w:rsidP="00A7589D">
      <w:pPr>
        <w:rPr>
          <w:rFonts w:ascii="Calibri" w:hAnsi="Calibri" w:cs="Calibri"/>
          <w:sz w:val="22"/>
          <w:szCs w:val="22"/>
        </w:rPr>
      </w:pPr>
      <w:proofErr w:type="gramStart"/>
      <w:r>
        <w:rPr>
          <w:rFonts w:ascii="Calibri" w:hAnsi="Calibri" w:cs="Calibri"/>
          <w:b/>
          <w:bCs/>
          <w:sz w:val="22"/>
          <w:szCs w:val="22"/>
        </w:rPr>
        <w:t>Forms  &gt;</w:t>
      </w:r>
      <w:proofErr w:type="gramEnd"/>
      <w:r>
        <w:rPr>
          <w:rFonts w:ascii="Calibri" w:hAnsi="Calibri" w:cs="Calibri"/>
          <w:sz w:val="22"/>
          <w:szCs w:val="22"/>
        </w:rPr>
        <w:t xml:space="preserve">  The student will initiate the process by completing the </w:t>
      </w:r>
      <w:r>
        <w:rPr>
          <w:rFonts w:ascii="Calibri" w:hAnsi="Calibri" w:cs="Calibri"/>
          <w:b/>
          <w:bCs/>
          <w:sz w:val="22"/>
          <w:szCs w:val="22"/>
        </w:rPr>
        <w:t>Request for Change of Campus</w:t>
      </w:r>
      <w:r>
        <w:rPr>
          <w:rFonts w:ascii="Calibri" w:hAnsi="Calibri" w:cs="Calibri"/>
          <w:sz w:val="22"/>
          <w:szCs w:val="22"/>
        </w:rPr>
        <w:t xml:space="preserve"> form. In addition, the student will submit an updated Statement of Purpose that reflects their interest in the new program (if switching campuses and concentrations).  If a student requests to switch campuses, but will remain in the same concentration, the student will submit a short statement explaining why they are requesting a switch in campus.</w:t>
      </w:r>
    </w:p>
    <w:p w:rsidR="00A7589D" w:rsidRDefault="00A7589D" w:rsidP="00A7589D">
      <w:pPr>
        <w:rPr>
          <w:rFonts w:ascii="Calibri" w:hAnsi="Calibri" w:cs="Calibri"/>
          <w:sz w:val="22"/>
          <w:szCs w:val="22"/>
        </w:rPr>
      </w:pPr>
    </w:p>
    <w:p w:rsidR="00A7589D" w:rsidRDefault="00A7589D" w:rsidP="00A7589D">
      <w:pPr>
        <w:rPr>
          <w:rFonts w:ascii="Calibri" w:hAnsi="Calibri" w:cs="Calibri"/>
          <w:sz w:val="22"/>
          <w:szCs w:val="22"/>
        </w:rPr>
      </w:pPr>
      <w:r>
        <w:rPr>
          <w:rFonts w:ascii="Calibri" w:hAnsi="Calibri" w:cs="Calibri"/>
          <w:b/>
          <w:bCs/>
          <w:sz w:val="22"/>
          <w:szCs w:val="22"/>
        </w:rPr>
        <w:t xml:space="preserve">Admissions </w:t>
      </w:r>
      <w:proofErr w:type="gramStart"/>
      <w:r>
        <w:rPr>
          <w:rFonts w:ascii="Calibri" w:hAnsi="Calibri" w:cs="Calibri"/>
          <w:b/>
          <w:bCs/>
          <w:sz w:val="22"/>
          <w:szCs w:val="22"/>
        </w:rPr>
        <w:t>Review  &gt;</w:t>
      </w:r>
      <w:proofErr w:type="gramEnd"/>
      <w:r>
        <w:rPr>
          <w:rFonts w:ascii="Calibri" w:hAnsi="Calibri" w:cs="Calibri"/>
          <w:sz w:val="22"/>
          <w:szCs w:val="22"/>
        </w:rPr>
        <w:t>  The Program Director for the program the student wishes to switch into will consider the student’s request. Admission decisions are based on the applicant’s original SOPHAS application (academic background, test scores, statement of purpose, work/volunteer experience, and letters of recommendation); their appropriateness for the program; and space availability within the program. Admissions are not guaranteed.</w:t>
      </w:r>
    </w:p>
    <w:p w:rsidR="00A7589D" w:rsidRDefault="00A7589D" w:rsidP="00A7589D">
      <w:pPr>
        <w:pStyle w:val="Default"/>
        <w:rPr>
          <w:sz w:val="22"/>
          <w:szCs w:val="22"/>
        </w:rPr>
      </w:pPr>
    </w:p>
    <w:p w:rsidR="00A7589D" w:rsidRDefault="00A7589D" w:rsidP="00A7589D">
      <w:pPr>
        <w:pStyle w:val="Default"/>
        <w:rPr>
          <w:sz w:val="22"/>
          <w:szCs w:val="22"/>
        </w:rPr>
      </w:pPr>
      <w:r>
        <w:rPr>
          <w:sz w:val="22"/>
          <w:szCs w:val="22"/>
        </w:rPr>
        <w:t xml:space="preserve">Completion of the </w:t>
      </w:r>
      <w:r>
        <w:rPr>
          <w:b/>
          <w:bCs/>
          <w:sz w:val="22"/>
          <w:szCs w:val="22"/>
        </w:rPr>
        <w:t xml:space="preserve">Request for Change of Campus </w:t>
      </w:r>
      <w:r>
        <w:rPr>
          <w:sz w:val="22"/>
          <w:szCs w:val="22"/>
        </w:rPr>
        <w:t xml:space="preserve">form will be required, as well as signatures from both the present and proposed Program Directors. </w:t>
      </w:r>
    </w:p>
    <w:p w:rsidR="00A7589D" w:rsidRDefault="00A7589D" w:rsidP="00A7589D">
      <w:pPr>
        <w:pStyle w:val="Default"/>
        <w:rPr>
          <w:sz w:val="22"/>
          <w:szCs w:val="22"/>
        </w:rPr>
      </w:pPr>
    </w:p>
    <w:p w:rsidR="00A7589D" w:rsidRDefault="00A7589D" w:rsidP="00A7589D">
      <w:pPr>
        <w:rPr>
          <w:rFonts w:ascii="Calibri" w:hAnsi="Calibri" w:cs="Calibri"/>
          <w:color w:val="000000"/>
          <w:sz w:val="22"/>
          <w:szCs w:val="22"/>
        </w:rPr>
      </w:pPr>
      <w:r>
        <w:rPr>
          <w:rFonts w:ascii="Calibri" w:hAnsi="Calibri" w:cs="Calibri"/>
          <w:b/>
          <w:bCs/>
          <w:sz w:val="22"/>
          <w:szCs w:val="22"/>
        </w:rPr>
        <w:t>Graduate College Process  &gt;</w:t>
      </w:r>
      <w:r>
        <w:rPr>
          <w:rFonts w:ascii="Calibri" w:hAnsi="Calibri" w:cs="Calibri"/>
          <w:sz w:val="22"/>
          <w:szCs w:val="22"/>
        </w:rPr>
        <w:t xml:space="preserve">  </w:t>
      </w:r>
      <w:r>
        <w:rPr>
          <w:rFonts w:ascii="Calibri" w:hAnsi="Calibri" w:cs="Calibri"/>
          <w:color w:val="000000"/>
          <w:sz w:val="22"/>
          <w:szCs w:val="22"/>
        </w:rPr>
        <w:t xml:space="preserve">Once approved, a request to switch campuses will be sent via e-mail to Mike Renning in the Graduate College so that he can make the change in </w:t>
      </w:r>
      <w:proofErr w:type="spellStart"/>
      <w:r>
        <w:rPr>
          <w:rFonts w:ascii="Calibri" w:hAnsi="Calibri" w:cs="Calibri"/>
          <w:color w:val="000000"/>
          <w:sz w:val="22"/>
          <w:szCs w:val="22"/>
        </w:rPr>
        <w:t>UAccess</w:t>
      </w:r>
      <w:proofErr w:type="spellEnd"/>
      <w:r>
        <w:rPr>
          <w:rFonts w:ascii="Calibri" w:hAnsi="Calibri" w:cs="Calibri"/>
          <w:color w:val="000000"/>
          <w:sz w:val="22"/>
          <w:szCs w:val="22"/>
        </w:rPr>
        <w:t>.</w:t>
      </w:r>
    </w:p>
    <w:p w:rsidR="00A7589D" w:rsidRDefault="00A7589D" w:rsidP="00A7589D">
      <w:pPr>
        <w:rPr>
          <w:rFonts w:ascii="Calibri" w:hAnsi="Calibri" w:cs="Calibri"/>
        </w:rPr>
      </w:pPr>
      <w:r>
        <w:rPr>
          <w:rFonts w:ascii="Calibri" w:hAnsi="Calibri" w:cs="Calibri"/>
          <w:sz w:val="22"/>
          <w:szCs w:val="22"/>
        </w:rPr>
        <w:br/>
      </w:r>
      <w:proofErr w:type="gramStart"/>
      <w:r>
        <w:rPr>
          <w:rFonts w:ascii="Calibri" w:hAnsi="Calibri" w:cs="Calibri"/>
          <w:b/>
          <w:bCs/>
          <w:sz w:val="22"/>
          <w:szCs w:val="22"/>
        </w:rPr>
        <w:t>Orientation  &gt;</w:t>
      </w:r>
      <w:proofErr w:type="gramEnd"/>
      <w:r>
        <w:rPr>
          <w:rFonts w:ascii="Calibri" w:hAnsi="Calibri" w:cs="Calibri"/>
          <w:sz w:val="22"/>
          <w:szCs w:val="22"/>
        </w:rPr>
        <w:t>  Should a request to switch campuses be approved, the student will be required to complete the online New Students Orientation for their new campus.  The orientation will help acquaint the student with the new campus and program requirements.</w:t>
      </w:r>
    </w:p>
    <w:p w:rsidR="00A7589D" w:rsidRDefault="00A7589D" w:rsidP="00A7589D">
      <w:pPr>
        <w:pStyle w:val="Default"/>
      </w:pPr>
      <w:r>
        <w:br/>
      </w:r>
      <w:r>
        <w:rPr>
          <w:b/>
          <w:bCs/>
          <w:sz w:val="28"/>
          <w:szCs w:val="28"/>
        </w:rPr>
        <w:t>Considerations</w:t>
      </w:r>
    </w:p>
    <w:p w:rsidR="00A7589D" w:rsidRDefault="00A7589D" w:rsidP="00A7589D">
      <w:pPr>
        <w:pStyle w:val="Default"/>
      </w:pPr>
    </w:p>
    <w:tbl>
      <w:tblPr>
        <w:tblW w:w="9625" w:type="dxa"/>
        <w:tblCellMar>
          <w:left w:w="0" w:type="dxa"/>
          <w:right w:w="0" w:type="dxa"/>
        </w:tblCellMar>
        <w:tblLook w:val="04A0" w:firstRow="1" w:lastRow="0" w:firstColumn="1" w:lastColumn="0" w:noHBand="0" w:noVBand="1"/>
      </w:tblPr>
      <w:tblGrid>
        <w:gridCol w:w="2509"/>
        <w:gridCol w:w="3291"/>
        <w:gridCol w:w="3825"/>
      </w:tblGrid>
      <w:tr w:rsidR="00A7589D" w:rsidTr="00A7589D">
        <w:tc>
          <w:tcPr>
            <w:tcW w:w="2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7589D" w:rsidRDefault="00A7589D">
            <w:pPr>
              <w:pStyle w:val="Default"/>
            </w:pP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Main Campus</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Online Campus</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Coordinator</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Tanya Nemec (Tucson)</w:t>
            </w:r>
          </w:p>
          <w:p w:rsidR="00A7589D" w:rsidRDefault="00A7589D">
            <w:pPr>
              <w:pStyle w:val="Default"/>
              <w:rPr>
                <w:sz w:val="22"/>
                <w:szCs w:val="22"/>
              </w:rPr>
            </w:pPr>
            <w:r>
              <w:rPr>
                <w:sz w:val="22"/>
                <w:szCs w:val="22"/>
              </w:rPr>
              <w:t>Kim Barnes (Phoenix)</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877B49">
            <w:pPr>
              <w:pStyle w:val="Default"/>
              <w:rPr>
                <w:sz w:val="22"/>
                <w:szCs w:val="22"/>
              </w:rPr>
            </w:pPr>
            <w:r>
              <w:rPr>
                <w:sz w:val="22"/>
                <w:szCs w:val="22"/>
              </w:rPr>
              <w:t>Samantha Pierce (Online)</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Courses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 xml:space="preserve">The 5 core MPH courses are offered on campus in Tucson or online (called an </w:t>
            </w:r>
            <w:proofErr w:type="spellStart"/>
            <w:r>
              <w:rPr>
                <w:sz w:val="22"/>
                <w:szCs w:val="22"/>
              </w:rPr>
              <w:t>iCourse</w:t>
            </w:r>
            <w:proofErr w:type="spellEnd"/>
            <w:r>
              <w:rPr>
                <w:sz w:val="22"/>
                <w:szCs w:val="22"/>
              </w:rPr>
              <w:t>). Students are required to take concentration-level courses at the Tucson or Phoenix campus. All MPH concentrations except HSA have electives that can be taken in any department on campus, as long as they are graduate level and the faculty mentor approves.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100% of coursework is completed online. There are no electives.</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Sequencing of Courses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 xml:space="preserve">The 5 core MPH courses are typically offered once per year online and once per year on campus in Tucson; concentration-level courses and electives are offered once per year or every other year.  It is strongly suggested that students follow the recommended course sequencing to ensure timely completion of courses and to not risk delays to the completion of their program. </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Courses follow a carousel model in which courses are only offered once a year. If a course is missed, the student must wait until the course is offered again in the following year. If a student has already taken a course on campus in the carousel, they may experience a semester when they enroll in fewer credits (note that this could affect eligibility for financial aid).</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Dual Degrees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A number of dual degrees are offered with the on campus MPH program.</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color w:val="C00000"/>
                <w:sz w:val="22"/>
                <w:szCs w:val="22"/>
              </w:rPr>
            </w:pPr>
            <w:r>
              <w:rPr>
                <w:sz w:val="22"/>
                <w:szCs w:val="22"/>
              </w:rPr>
              <w:t xml:space="preserve">At this time, dual degrees are not available with the Online MPH program.  </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Enrollment</w:t>
            </w:r>
          </w:p>
        </w:tc>
        <w:tc>
          <w:tcPr>
            <w:tcW w:w="70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Students cannot be enrolled in both the Online and Main Campus simultaneously. There is no switching back and forth between campuses. Only one switch in campuses is allowed.</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Internships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The MPH internship can be completed in one semester (or longer, if necessary).</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The MPH internship is spread over three terms (fall, spring, summer).</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lastRenderedPageBreak/>
              <w:t>Work</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Full-time MPH students take 9-12 credits per semester and are able to work 10-20 hours per week; full-time students typically complete the program in 2 years.  Part-time MPH students take 3-6 credits per semester and are generally  able to work 30-40 hours per week.</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Full-time Online MPH students take 6 credits each term (fall, spring, summer) during their first year and 8 credits each term during their second year. Often, online MPH students are able to work full-time while going to school full-time.</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Time to Degree</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Full-time students typically complete the program in 2 years.  Part-time students have up to 6 years to complete the program, although most finish in 3-4 years.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CommentText"/>
              <w:spacing w:after="0"/>
              <w:rPr>
                <w:sz w:val="22"/>
                <w:szCs w:val="22"/>
              </w:rPr>
            </w:pPr>
            <w:r>
              <w:rPr>
                <w:sz w:val="22"/>
                <w:szCs w:val="22"/>
              </w:rPr>
              <w:t>The Online MPH program is designed to be completed in 2 years, although students have up to 6 years to complete the program.</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Location Restrictions</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Must be located in Tucson or Phoenix for the majority of coursework.</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CommentText"/>
              <w:spacing w:after="0"/>
              <w:rPr>
                <w:sz w:val="22"/>
                <w:szCs w:val="22"/>
                <w:lang w:val="en"/>
              </w:rPr>
            </w:pPr>
            <w:r>
              <w:rPr>
                <w:sz w:val="22"/>
                <w:szCs w:val="22"/>
              </w:rPr>
              <w:t xml:space="preserve">May be anywhere in the US or world, as long as a student has reliable access to internet.  </w:t>
            </w:r>
            <w:r>
              <w:rPr>
                <w:sz w:val="22"/>
                <w:szCs w:val="22"/>
                <w:lang w:val="en"/>
              </w:rPr>
              <w:t xml:space="preserve">State Authorization Notice* Residents of the states DC, DE, KY, MA, NC, NY, PA, click below for eligibility information, </w:t>
            </w:r>
          </w:p>
          <w:p w:rsidR="00A7589D" w:rsidRDefault="00F24AE3">
            <w:pPr>
              <w:pStyle w:val="Default"/>
              <w:rPr>
                <w:b/>
                <w:bCs/>
                <w:color w:val="C00000"/>
                <w:sz w:val="22"/>
                <w:szCs w:val="22"/>
              </w:rPr>
            </w:pPr>
            <w:hyperlink r:id="rId6" w:history="1">
              <w:r w:rsidR="00A7589D">
                <w:rPr>
                  <w:rStyle w:val="Hyperlink"/>
                  <w:color w:val="002060"/>
                  <w:sz w:val="22"/>
                  <w:szCs w:val="22"/>
                </w:rPr>
                <w:t>http://uaonline.arizona.edu/state-authorization/online-programs-required-internship-components</w:t>
              </w:r>
            </w:hyperlink>
            <w:r w:rsidR="00A7589D">
              <w:rPr>
                <w:color w:val="002060"/>
                <w:sz w:val="22"/>
                <w:szCs w:val="22"/>
              </w:rPr>
              <w:t xml:space="preserve"> </w:t>
            </w:r>
            <w:r w:rsidR="00A7589D">
              <w:rPr>
                <w:sz w:val="22"/>
                <w:szCs w:val="22"/>
              </w:rPr>
              <w:br/>
              <w:t xml:space="preserve">Residents of any US Territory are not eligible, please see following link for more information. </w:t>
            </w:r>
            <w:r w:rsidR="00A7589D">
              <w:rPr>
                <w:sz w:val="22"/>
                <w:szCs w:val="22"/>
              </w:rPr>
              <w:br/>
            </w:r>
            <w:hyperlink r:id="rId7" w:history="1">
              <w:r w:rsidR="00A7589D">
                <w:rPr>
                  <w:rStyle w:val="Hyperlink"/>
                  <w:color w:val="002060"/>
                  <w:sz w:val="22"/>
                  <w:szCs w:val="22"/>
                </w:rPr>
                <w:t>http://uaonline.arizona.edu/node/209</w:t>
              </w:r>
            </w:hyperlink>
            <w:r w:rsidR="00A7589D">
              <w:rPr>
                <w:color w:val="002060"/>
              </w:rPr>
              <w:t xml:space="preserve"> </w:t>
            </w:r>
            <w:r w:rsidR="00A7589D">
              <w:rPr>
                <w:color w:val="002060"/>
                <w:sz w:val="22"/>
                <w:szCs w:val="22"/>
              </w:rPr>
              <w:t>  </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Advising/Mentoring</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Students receive advising from the MPH Coordinator/Phoenix Coordinator, as well as mentoring from a faculty mentor from their area of study.</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color w:val="C00000"/>
                <w:sz w:val="22"/>
                <w:szCs w:val="22"/>
              </w:rPr>
            </w:pPr>
            <w:r>
              <w:rPr>
                <w:sz w:val="22"/>
                <w:szCs w:val="22"/>
              </w:rPr>
              <w:t>Students receive advising from the Online MPH Coordinator, Director of the Online MPH Program, and Executive Coach.</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Tuition</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Students pay in-state or out-of-state tuition based on state of residency.</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All students pay the same tuition, regardless of residency. Tuition is higher than tuition for Arizona residents, but lower than tuition for out-of-state students.</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Financial Aid</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 xml:space="preserve">Students are eligible for college scholarships, assistantships, and federal loans. </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 xml:space="preserve">Students are eligible to apply for federal loans and employer reimbursement.  College scholarships and assistantships are not available. </w:t>
            </w:r>
          </w:p>
        </w:tc>
      </w:tr>
      <w:tr w:rsidR="00A7589D" w:rsidTr="00A7589D">
        <w:tc>
          <w:tcPr>
            <w:tcW w:w="2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b/>
                <w:bCs/>
              </w:rPr>
            </w:pPr>
            <w:r>
              <w:rPr>
                <w:b/>
                <w:bCs/>
              </w:rPr>
              <w:t>Qualified Tuition Reduction</w:t>
            </w: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The QTR can be applied to the on campus MPH program.</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rsidR="00A7589D" w:rsidRDefault="00A7589D">
            <w:pPr>
              <w:pStyle w:val="Default"/>
              <w:rPr>
                <w:sz w:val="22"/>
                <w:szCs w:val="22"/>
              </w:rPr>
            </w:pPr>
            <w:r>
              <w:rPr>
                <w:sz w:val="22"/>
                <w:szCs w:val="22"/>
              </w:rPr>
              <w:t>The QTR can be applied to the online MPH program.</w:t>
            </w:r>
          </w:p>
        </w:tc>
      </w:tr>
    </w:tbl>
    <w:p w:rsidR="002B5304" w:rsidRDefault="002B5304"/>
    <w:sectPr w:rsidR="002B5304" w:rsidSect="00F24AE3">
      <w:headerReference w:type="default" r:id="rId8"/>
      <w:footerReference w:type="default" r:id="rId9"/>
      <w:pgSz w:w="12240" w:h="15840"/>
      <w:pgMar w:top="1440" w:right="1440" w:bottom="1440" w:left="1440" w:header="115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AE3" w:rsidRDefault="00F24AE3" w:rsidP="00F24AE3">
      <w:r>
        <w:separator/>
      </w:r>
    </w:p>
  </w:endnote>
  <w:endnote w:type="continuationSeparator" w:id="0">
    <w:p w:rsidR="00F24AE3" w:rsidRDefault="00F24AE3" w:rsidP="00F2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073985"/>
      <w:docPartObj>
        <w:docPartGallery w:val="Page Numbers (Bottom of Page)"/>
        <w:docPartUnique/>
      </w:docPartObj>
    </w:sdtPr>
    <w:sdtEndPr>
      <w:rPr>
        <w:noProof/>
      </w:rPr>
    </w:sdtEndPr>
    <w:sdtContent>
      <w:p w:rsidR="00F24AE3" w:rsidRDefault="00F24A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24AE3" w:rsidRDefault="00F24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AE3" w:rsidRDefault="00F24AE3" w:rsidP="00F24AE3">
      <w:r>
        <w:separator/>
      </w:r>
    </w:p>
  </w:footnote>
  <w:footnote w:type="continuationSeparator" w:id="0">
    <w:p w:rsidR="00F24AE3" w:rsidRDefault="00F24AE3" w:rsidP="00F24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AE3" w:rsidRDefault="00F24AE3">
    <w:pPr>
      <w:pStyle w:val="Header"/>
    </w:pPr>
    <w:r>
      <w:rPr>
        <w:rFonts w:eastAsia="Times New Roman"/>
        <w:noProof/>
        <w:color w:val="002060"/>
      </w:rPr>
      <w:drawing>
        <wp:anchor distT="0" distB="0" distL="114300" distR="114300" simplePos="0" relativeHeight="251659264" behindDoc="0" locked="0" layoutInCell="1" allowOverlap="1" wp14:anchorId="7D37DD82" wp14:editId="6339BA16">
          <wp:simplePos x="0" y="0"/>
          <wp:positionH relativeFrom="margin">
            <wp:posOffset>1038225</wp:posOffset>
          </wp:positionH>
          <wp:positionV relativeFrom="paragraph">
            <wp:posOffset>-257175</wp:posOffset>
          </wp:positionV>
          <wp:extent cx="3575050" cy="681355"/>
          <wp:effectExtent l="0" t="0" r="635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5050"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4AE3" w:rsidRDefault="00F24A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9D"/>
    <w:rsid w:val="00236BDC"/>
    <w:rsid w:val="002B5304"/>
    <w:rsid w:val="00877B49"/>
    <w:rsid w:val="00A7589D"/>
    <w:rsid w:val="00F24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3114"/>
  <w15:chartTrackingRefBased/>
  <w15:docId w15:val="{CCDDD033-7CBC-4AB2-8831-8E28AC52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89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89D"/>
    <w:rPr>
      <w:color w:val="0000FF"/>
      <w:u w:val="single"/>
    </w:rPr>
  </w:style>
  <w:style w:type="paragraph" w:styleId="CommentText">
    <w:name w:val="annotation text"/>
    <w:basedOn w:val="Normal"/>
    <w:link w:val="CommentTextChar"/>
    <w:uiPriority w:val="99"/>
    <w:semiHidden/>
    <w:unhideWhenUsed/>
    <w:rsid w:val="00A7589D"/>
    <w:pPr>
      <w:spacing w:after="200"/>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A7589D"/>
    <w:rPr>
      <w:rFonts w:ascii="Calibri" w:hAnsi="Calibri" w:cs="Calibri"/>
      <w:sz w:val="20"/>
      <w:szCs w:val="20"/>
    </w:rPr>
  </w:style>
  <w:style w:type="paragraph" w:customStyle="1" w:styleId="Default">
    <w:name w:val="Default"/>
    <w:basedOn w:val="Normal"/>
    <w:uiPriority w:val="99"/>
    <w:rsid w:val="00A7589D"/>
    <w:pPr>
      <w:autoSpaceDE w:val="0"/>
      <w:autoSpaceDN w:val="0"/>
    </w:pPr>
    <w:rPr>
      <w:rFonts w:ascii="Calibri" w:hAnsi="Calibri" w:cs="Calibri"/>
      <w:color w:val="000000"/>
    </w:rPr>
  </w:style>
  <w:style w:type="paragraph" w:styleId="Header">
    <w:name w:val="header"/>
    <w:basedOn w:val="Normal"/>
    <w:link w:val="HeaderChar"/>
    <w:uiPriority w:val="99"/>
    <w:unhideWhenUsed/>
    <w:rsid w:val="00F24AE3"/>
    <w:pPr>
      <w:tabs>
        <w:tab w:val="center" w:pos="4680"/>
        <w:tab w:val="right" w:pos="9360"/>
      </w:tabs>
    </w:pPr>
  </w:style>
  <w:style w:type="character" w:customStyle="1" w:styleId="HeaderChar">
    <w:name w:val="Header Char"/>
    <w:basedOn w:val="DefaultParagraphFont"/>
    <w:link w:val="Header"/>
    <w:uiPriority w:val="99"/>
    <w:rsid w:val="00F24AE3"/>
    <w:rPr>
      <w:rFonts w:ascii="Times New Roman" w:hAnsi="Times New Roman" w:cs="Times New Roman"/>
      <w:sz w:val="24"/>
      <w:szCs w:val="24"/>
    </w:rPr>
  </w:style>
  <w:style w:type="paragraph" w:styleId="Footer">
    <w:name w:val="footer"/>
    <w:basedOn w:val="Normal"/>
    <w:link w:val="FooterChar"/>
    <w:uiPriority w:val="99"/>
    <w:unhideWhenUsed/>
    <w:rsid w:val="00F24AE3"/>
    <w:pPr>
      <w:tabs>
        <w:tab w:val="center" w:pos="4680"/>
        <w:tab w:val="right" w:pos="9360"/>
      </w:tabs>
    </w:pPr>
  </w:style>
  <w:style w:type="character" w:customStyle="1" w:styleId="FooterChar">
    <w:name w:val="Footer Char"/>
    <w:basedOn w:val="DefaultParagraphFont"/>
    <w:link w:val="Footer"/>
    <w:uiPriority w:val="99"/>
    <w:rsid w:val="00F24A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1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uaonline.arizona.edu/node/2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aonline.arizona.edu/state-authorization/online-programs-required-internship-component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Nemec</dc:creator>
  <cp:keywords/>
  <dc:description/>
  <cp:lastModifiedBy>Samantha Pierce</cp:lastModifiedBy>
  <cp:revision>3</cp:revision>
  <dcterms:created xsi:type="dcterms:W3CDTF">2019-10-03T22:59:00Z</dcterms:created>
  <dcterms:modified xsi:type="dcterms:W3CDTF">2019-10-11T15:37:00Z</dcterms:modified>
</cp:coreProperties>
</file>